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1DB" w:rsidRPr="00F05D31" w:rsidRDefault="00DB21DB" w:rsidP="00DB21DB">
      <w:pPr>
        <w:numPr>
          <w:ilvl w:val="0"/>
          <w:numId w:val="1"/>
        </w:numPr>
        <w:tabs>
          <w:tab w:val="clear" w:pos="720"/>
          <w:tab w:val="num" w:pos="360"/>
        </w:tabs>
        <w:ind w:left="357" w:hanging="357"/>
        <w:rPr>
          <w:rFonts w:ascii="Arial" w:hAnsi="Arial" w:cs="Arial"/>
          <w:bCs/>
          <w:spacing w:val="-3"/>
          <w:sz w:val="22"/>
          <w:szCs w:val="22"/>
        </w:rPr>
      </w:pPr>
      <w:bookmarkStart w:id="0" w:name="_GoBack"/>
      <w:bookmarkEnd w:id="0"/>
      <w:r w:rsidRPr="00F72B1F">
        <w:rPr>
          <w:rFonts w:ascii="Arial" w:hAnsi="Arial" w:cs="Arial"/>
          <w:sz w:val="22"/>
          <w:szCs w:val="22"/>
        </w:rPr>
        <w:t xml:space="preserve">The </w:t>
      </w:r>
      <w:r w:rsidRPr="00F72B1F">
        <w:rPr>
          <w:rFonts w:ascii="Arial" w:hAnsi="Arial" w:cs="Arial"/>
          <w:i/>
          <w:sz w:val="22"/>
          <w:szCs w:val="22"/>
        </w:rPr>
        <w:t>Quarterly Public Hospitals Performance Report,</w:t>
      </w:r>
      <w:r w:rsidRPr="00F72B1F">
        <w:rPr>
          <w:rFonts w:ascii="Arial" w:hAnsi="Arial" w:cs="Arial"/>
          <w:sz w:val="22"/>
          <w:szCs w:val="22"/>
        </w:rPr>
        <w:t xml:space="preserve"> provides an overview of </w:t>
      </w:r>
      <w:smartTag w:uri="urn:schemas-microsoft-com:office:smarttags" w:element="State">
        <w:smartTag w:uri="urn:schemas-microsoft-com:office:smarttags" w:element="place">
          <w:r w:rsidRPr="00F72B1F">
            <w:rPr>
              <w:rFonts w:ascii="Arial" w:hAnsi="Arial" w:cs="Arial"/>
              <w:sz w:val="22"/>
              <w:szCs w:val="22"/>
            </w:rPr>
            <w:t>Queensland</w:t>
          </w:r>
        </w:smartTag>
      </w:smartTag>
      <w:r w:rsidRPr="00F72B1F">
        <w:rPr>
          <w:rFonts w:ascii="Arial" w:hAnsi="Arial" w:cs="Arial"/>
          <w:sz w:val="22"/>
          <w:szCs w:val="22"/>
        </w:rPr>
        <w:t xml:space="preserve"> public hospitals including: inpatient activity, elective surgery waiting times, emergency department presentations and staffing.</w:t>
      </w:r>
      <w:r w:rsidRPr="003D5405">
        <w:t xml:space="preserve">  </w:t>
      </w:r>
    </w:p>
    <w:p w:rsidR="005D33C4" w:rsidRPr="00BA2F55" w:rsidRDefault="005D33C4" w:rsidP="00DB21DB">
      <w:pPr>
        <w:ind w:left="357"/>
        <w:rPr>
          <w:rFonts w:ascii="Arial" w:hAnsi="Arial" w:cs="Arial"/>
          <w:bCs/>
          <w:spacing w:val="-3"/>
          <w:sz w:val="22"/>
          <w:szCs w:val="22"/>
        </w:rPr>
      </w:pPr>
    </w:p>
    <w:p w:rsidR="005D33C4" w:rsidRPr="00BA2F55" w:rsidRDefault="005D33C4" w:rsidP="005D33C4">
      <w:pPr>
        <w:rPr>
          <w:rFonts w:ascii="Arial" w:hAnsi="Arial" w:cs="Arial"/>
          <w:i/>
          <w:color w:val="000000"/>
          <w:sz w:val="22"/>
          <w:szCs w:val="22"/>
          <w:u w:val="single"/>
        </w:rPr>
      </w:pPr>
      <w:r w:rsidRPr="00BA2F55">
        <w:rPr>
          <w:rFonts w:ascii="Arial" w:hAnsi="Arial" w:cs="Arial"/>
          <w:i/>
          <w:color w:val="000000"/>
          <w:sz w:val="22"/>
          <w:szCs w:val="22"/>
          <w:u w:val="single"/>
        </w:rPr>
        <w:t xml:space="preserve">Hospital Activity </w:t>
      </w:r>
    </w:p>
    <w:p w:rsidR="005D33C4" w:rsidRPr="00BA2F55" w:rsidRDefault="005D33C4" w:rsidP="005D33C4">
      <w:pPr>
        <w:numPr>
          <w:ilvl w:val="0"/>
          <w:numId w:val="1"/>
        </w:numPr>
        <w:tabs>
          <w:tab w:val="clear" w:pos="720"/>
          <w:tab w:val="num" w:pos="360"/>
        </w:tabs>
        <w:spacing w:before="240"/>
        <w:ind w:left="360"/>
        <w:rPr>
          <w:rFonts w:ascii="Arial" w:hAnsi="Arial" w:cs="Arial"/>
          <w:bCs/>
          <w:spacing w:val="-3"/>
          <w:sz w:val="22"/>
          <w:szCs w:val="22"/>
        </w:rPr>
      </w:pPr>
      <w:r w:rsidRPr="00BA2F55">
        <w:rPr>
          <w:rFonts w:ascii="Arial" w:hAnsi="Arial" w:cs="Arial"/>
          <w:color w:val="000000"/>
          <w:sz w:val="22"/>
          <w:szCs w:val="22"/>
        </w:rPr>
        <w:t>There were 230,790 admitted patient episodes of care, a record quarter for the number of hospital admissions, and a 3.9% increase from the same quarter last year.</w:t>
      </w:r>
    </w:p>
    <w:p w:rsidR="005D33C4" w:rsidRPr="00BA2F55" w:rsidRDefault="005D33C4" w:rsidP="005D33C4">
      <w:pPr>
        <w:rPr>
          <w:rFonts w:ascii="Arial" w:hAnsi="Arial" w:cs="Arial"/>
          <w:sz w:val="22"/>
          <w:szCs w:val="22"/>
        </w:rPr>
      </w:pPr>
    </w:p>
    <w:p w:rsidR="005D33C4" w:rsidRPr="006A72C3" w:rsidRDefault="005D33C4" w:rsidP="005D33C4">
      <w:pPr>
        <w:rPr>
          <w:rFonts w:ascii="Arial" w:hAnsi="Arial" w:cs="Arial"/>
          <w:i/>
          <w:sz w:val="22"/>
          <w:szCs w:val="22"/>
          <w:u w:val="single"/>
        </w:rPr>
      </w:pPr>
      <w:r w:rsidRPr="00BA2F55">
        <w:rPr>
          <w:rFonts w:ascii="Arial" w:hAnsi="Arial" w:cs="Arial"/>
          <w:i/>
          <w:sz w:val="22"/>
          <w:szCs w:val="22"/>
          <w:u w:val="single"/>
        </w:rPr>
        <w:t>Elective Surgery Performance</w:t>
      </w:r>
      <w:r w:rsidRPr="006A72C3">
        <w:rPr>
          <w:rFonts w:ascii="Arial" w:hAnsi="Arial" w:cs="Arial"/>
          <w:i/>
          <w:sz w:val="22"/>
          <w:szCs w:val="22"/>
          <w:u w:val="single"/>
        </w:rPr>
        <w:t xml:space="preserve"> </w:t>
      </w:r>
    </w:p>
    <w:p w:rsidR="005D33C4" w:rsidRPr="006A72C3" w:rsidRDefault="005D33C4" w:rsidP="005D33C4">
      <w:pPr>
        <w:rPr>
          <w:rFonts w:ascii="Arial" w:hAnsi="Arial" w:cs="Arial"/>
          <w:sz w:val="22"/>
          <w:szCs w:val="22"/>
          <w:u w:val="single"/>
        </w:rPr>
      </w:pPr>
    </w:p>
    <w:p w:rsidR="005D33C4" w:rsidRPr="006A72C3" w:rsidRDefault="005D33C4" w:rsidP="005D33C4">
      <w:pPr>
        <w:numPr>
          <w:ilvl w:val="0"/>
          <w:numId w:val="1"/>
        </w:numPr>
        <w:tabs>
          <w:tab w:val="clear" w:pos="720"/>
          <w:tab w:val="num" w:pos="426"/>
        </w:tabs>
        <w:ind w:left="426" w:hanging="426"/>
        <w:rPr>
          <w:rFonts w:ascii="Arial" w:hAnsi="Arial" w:cs="Arial"/>
          <w:sz w:val="22"/>
          <w:szCs w:val="22"/>
        </w:rPr>
      </w:pPr>
      <w:r w:rsidRPr="006A72C3">
        <w:rPr>
          <w:rFonts w:ascii="Arial" w:hAnsi="Arial" w:cs="Arial"/>
          <w:sz w:val="22"/>
          <w:szCs w:val="22"/>
        </w:rPr>
        <w:t>The current total number of ‘long wait’ patients waiting has decreased from last year by 15.3%.  More elective surgery patients were treated in the September quarter 2009 (including patients treated through Surgery Connect) than ever before, and the total is a 3.4% increase on the number treated in the same quarter last year.  The 90</w:t>
      </w:r>
      <w:r w:rsidRPr="006A72C3">
        <w:rPr>
          <w:rFonts w:ascii="Arial" w:hAnsi="Arial" w:cs="Arial"/>
          <w:sz w:val="22"/>
          <w:szCs w:val="22"/>
          <w:vertAlign w:val="superscript"/>
        </w:rPr>
        <w:t>th</w:t>
      </w:r>
      <w:r w:rsidRPr="006A72C3">
        <w:rPr>
          <w:rFonts w:ascii="Arial" w:hAnsi="Arial" w:cs="Arial"/>
          <w:sz w:val="22"/>
          <w:szCs w:val="22"/>
        </w:rPr>
        <w:t xml:space="preserve"> percentile waiting time for elective surgery has decreased in categories 1 and 3 in the September quarter compared to the same quarter last year.  The median waiting time across all categories has remained stable at 27 days.</w:t>
      </w:r>
    </w:p>
    <w:p w:rsidR="005D33C4" w:rsidRPr="006A72C3" w:rsidRDefault="005D33C4" w:rsidP="005D33C4">
      <w:pPr>
        <w:tabs>
          <w:tab w:val="num" w:pos="426"/>
        </w:tabs>
        <w:ind w:left="426" w:hanging="426"/>
        <w:rPr>
          <w:rFonts w:ascii="Arial" w:hAnsi="Arial" w:cs="Arial"/>
          <w:sz w:val="22"/>
          <w:szCs w:val="22"/>
        </w:rPr>
      </w:pPr>
    </w:p>
    <w:p w:rsidR="005D33C4" w:rsidRPr="00D80F2B" w:rsidRDefault="005D33C4" w:rsidP="005D33C4">
      <w:pPr>
        <w:rPr>
          <w:rFonts w:ascii="Arial" w:hAnsi="Arial" w:cs="Arial"/>
          <w:i/>
          <w:color w:val="000000"/>
          <w:sz w:val="22"/>
          <w:szCs w:val="22"/>
          <w:u w:val="single"/>
        </w:rPr>
      </w:pPr>
      <w:r w:rsidRPr="00D80F2B">
        <w:rPr>
          <w:rFonts w:ascii="Arial" w:hAnsi="Arial" w:cs="Arial"/>
          <w:i/>
          <w:color w:val="000000"/>
          <w:sz w:val="22"/>
          <w:szCs w:val="22"/>
          <w:u w:val="single"/>
        </w:rPr>
        <w:t>Emergency Department Performance</w:t>
      </w:r>
    </w:p>
    <w:p w:rsidR="005D33C4" w:rsidRPr="00D80F2B" w:rsidRDefault="005D33C4" w:rsidP="005D33C4">
      <w:pPr>
        <w:rPr>
          <w:rFonts w:ascii="Arial" w:hAnsi="Arial" w:cs="Arial"/>
          <w:i/>
          <w:color w:val="000000"/>
          <w:sz w:val="22"/>
          <w:szCs w:val="22"/>
          <w:u w:val="single"/>
        </w:rPr>
      </w:pPr>
    </w:p>
    <w:p w:rsidR="005D33C4" w:rsidRPr="00A91F90" w:rsidRDefault="005D33C4" w:rsidP="005D33C4">
      <w:pPr>
        <w:numPr>
          <w:ilvl w:val="0"/>
          <w:numId w:val="1"/>
        </w:numPr>
        <w:tabs>
          <w:tab w:val="clear" w:pos="720"/>
          <w:tab w:val="num" w:pos="426"/>
        </w:tabs>
        <w:ind w:left="426" w:hanging="426"/>
        <w:rPr>
          <w:rFonts w:ascii="Arial" w:hAnsi="Arial" w:cs="Arial"/>
          <w:color w:val="000000"/>
          <w:sz w:val="22"/>
          <w:szCs w:val="22"/>
        </w:rPr>
      </w:pPr>
      <w:r w:rsidRPr="00D80F2B">
        <w:rPr>
          <w:rFonts w:ascii="Arial" w:hAnsi="Arial" w:cs="Arial"/>
          <w:sz w:val="22"/>
          <w:szCs w:val="22"/>
        </w:rPr>
        <w:t xml:space="preserve">During the September quarter 2009 there were 292,645 emergency department presentations in </w:t>
      </w:r>
      <w:smartTag w:uri="urn:schemas-microsoft-com:office:smarttags" w:element="State">
        <w:smartTag w:uri="urn:schemas-microsoft-com:office:smarttags" w:element="place">
          <w:r w:rsidRPr="00D80F2B">
            <w:rPr>
              <w:rFonts w:ascii="Arial" w:hAnsi="Arial" w:cs="Arial"/>
              <w:sz w:val="22"/>
              <w:szCs w:val="22"/>
            </w:rPr>
            <w:t>Queensland</w:t>
          </w:r>
        </w:smartTag>
      </w:smartTag>
      <w:r w:rsidRPr="00D80F2B">
        <w:rPr>
          <w:rFonts w:ascii="Arial" w:hAnsi="Arial" w:cs="Arial"/>
          <w:sz w:val="22"/>
          <w:szCs w:val="22"/>
        </w:rPr>
        <w:t>’s 27 largest hospitals.  This is an increase of 5.6% when compared with the September 2008 quarter</w:t>
      </w:r>
      <w:r w:rsidRPr="00D80F2B">
        <w:rPr>
          <w:rFonts w:ascii="Arial" w:hAnsi="Arial" w:cs="Arial"/>
          <w:color w:val="000000"/>
          <w:sz w:val="22"/>
          <w:szCs w:val="22"/>
        </w:rPr>
        <w:t xml:space="preserve">.  Despite the increase in demand, waiting times performance has improved – 61% of patients were seen within the clinically recommended time in the September quarter 2009, an improvement from 58% in the same quarter last </w:t>
      </w:r>
      <w:r w:rsidRPr="00A91F90">
        <w:rPr>
          <w:rFonts w:ascii="Arial" w:hAnsi="Arial" w:cs="Arial"/>
          <w:color w:val="000000"/>
          <w:sz w:val="22"/>
          <w:szCs w:val="22"/>
        </w:rPr>
        <w:t xml:space="preserve">year.  Information regarding access block – the delay in admission from the emergency department to an inpatient bed – is included in the September quarter report for the first time.  </w:t>
      </w:r>
      <w:smartTag w:uri="urn:schemas-microsoft-com:office:smarttags" w:element="State">
        <w:smartTag w:uri="urn:schemas-microsoft-com:office:smarttags" w:element="place">
          <w:r w:rsidRPr="00A91F90">
            <w:rPr>
              <w:rFonts w:ascii="Arial" w:hAnsi="Arial" w:cs="Arial"/>
              <w:color w:val="000000"/>
              <w:sz w:val="22"/>
              <w:szCs w:val="22"/>
            </w:rPr>
            <w:t>Queensland</w:t>
          </w:r>
        </w:smartTag>
      </w:smartTag>
      <w:r w:rsidRPr="00A91F90">
        <w:rPr>
          <w:rFonts w:ascii="Arial" w:hAnsi="Arial" w:cs="Arial"/>
          <w:color w:val="000000"/>
          <w:sz w:val="22"/>
          <w:szCs w:val="22"/>
        </w:rPr>
        <w:t>’s current performance is reported at 64% of patients admitted to an inpatient bed within 8 hours, an improvement from 62% in the same quarter last year.</w:t>
      </w:r>
    </w:p>
    <w:p w:rsidR="005D33C4" w:rsidRPr="00A91F90" w:rsidRDefault="005D33C4" w:rsidP="005D33C4">
      <w:pPr>
        <w:rPr>
          <w:rFonts w:ascii="Arial" w:hAnsi="Arial" w:cs="Arial"/>
          <w:color w:val="000000"/>
          <w:sz w:val="22"/>
          <w:szCs w:val="22"/>
        </w:rPr>
      </w:pPr>
    </w:p>
    <w:p w:rsidR="005D33C4" w:rsidRPr="00A91F90" w:rsidRDefault="005D33C4" w:rsidP="005D33C4">
      <w:pPr>
        <w:rPr>
          <w:rFonts w:ascii="Arial" w:hAnsi="Arial" w:cs="Arial"/>
          <w:i/>
          <w:color w:val="000000"/>
          <w:sz w:val="22"/>
          <w:szCs w:val="22"/>
          <w:u w:val="single"/>
        </w:rPr>
      </w:pPr>
      <w:r w:rsidRPr="00A91F90">
        <w:rPr>
          <w:rFonts w:ascii="Arial" w:hAnsi="Arial" w:cs="Arial"/>
          <w:i/>
          <w:color w:val="000000"/>
          <w:sz w:val="22"/>
          <w:szCs w:val="22"/>
          <w:u w:val="single"/>
        </w:rPr>
        <w:t>Surgery Connect</w:t>
      </w:r>
    </w:p>
    <w:p w:rsidR="005D33C4" w:rsidRPr="00A91F90" w:rsidRDefault="005D33C4" w:rsidP="005D33C4">
      <w:pPr>
        <w:rPr>
          <w:rFonts w:ascii="Arial" w:hAnsi="Arial" w:cs="Arial"/>
          <w:i/>
          <w:color w:val="000000"/>
          <w:sz w:val="22"/>
          <w:szCs w:val="22"/>
          <w:u w:val="single"/>
        </w:rPr>
      </w:pPr>
    </w:p>
    <w:p w:rsidR="005D33C4" w:rsidRPr="00A91F90" w:rsidRDefault="005D33C4" w:rsidP="005D33C4">
      <w:pPr>
        <w:pStyle w:val="BodyText"/>
        <w:numPr>
          <w:ilvl w:val="0"/>
          <w:numId w:val="1"/>
        </w:numPr>
        <w:tabs>
          <w:tab w:val="clear" w:pos="720"/>
          <w:tab w:val="num" w:pos="426"/>
        </w:tabs>
        <w:spacing w:after="0"/>
        <w:ind w:left="426" w:hanging="426"/>
        <w:rPr>
          <w:rFonts w:ascii="Arial" w:hAnsi="Arial" w:cs="Arial"/>
          <w:sz w:val="22"/>
          <w:szCs w:val="22"/>
        </w:rPr>
      </w:pPr>
      <w:r w:rsidRPr="00A91F90">
        <w:rPr>
          <w:rFonts w:ascii="Arial" w:hAnsi="Arial" w:cs="Arial"/>
          <w:sz w:val="22"/>
          <w:szCs w:val="22"/>
        </w:rPr>
        <w:t xml:space="preserve">During the September quarter 2009, 1,381 elective surgery patients were referred to the Surgery Connect program, and 1,444 received surgery during the quarter. </w:t>
      </w:r>
    </w:p>
    <w:p w:rsidR="005D33C4" w:rsidRPr="00A91F90" w:rsidRDefault="005D33C4" w:rsidP="005D33C4">
      <w:pPr>
        <w:pStyle w:val="BodyText"/>
        <w:spacing w:after="0"/>
        <w:rPr>
          <w:rFonts w:ascii="Arial" w:hAnsi="Arial" w:cs="Arial"/>
          <w:sz w:val="22"/>
          <w:szCs w:val="22"/>
        </w:rPr>
      </w:pPr>
    </w:p>
    <w:p w:rsidR="005D33C4" w:rsidRPr="00FA0633" w:rsidRDefault="005D33C4" w:rsidP="005D33C4">
      <w:pPr>
        <w:rPr>
          <w:rFonts w:ascii="Arial" w:hAnsi="Arial" w:cs="Arial"/>
          <w:i/>
          <w:color w:val="000000"/>
          <w:sz w:val="22"/>
          <w:szCs w:val="22"/>
          <w:u w:val="single"/>
        </w:rPr>
      </w:pPr>
      <w:r w:rsidRPr="00FA0633">
        <w:rPr>
          <w:rFonts w:ascii="Arial" w:hAnsi="Arial" w:cs="Arial"/>
          <w:i/>
          <w:color w:val="000000"/>
          <w:sz w:val="22"/>
          <w:szCs w:val="22"/>
          <w:u w:val="single"/>
        </w:rPr>
        <w:t>Radiation Treatment Times</w:t>
      </w:r>
    </w:p>
    <w:p w:rsidR="005D33C4" w:rsidRPr="00FA0633" w:rsidRDefault="005D33C4" w:rsidP="005D33C4">
      <w:pPr>
        <w:pStyle w:val="BodyText"/>
        <w:spacing w:after="0"/>
        <w:rPr>
          <w:rFonts w:ascii="Arial" w:hAnsi="Arial" w:cs="Arial"/>
          <w:sz w:val="22"/>
          <w:szCs w:val="22"/>
        </w:rPr>
      </w:pPr>
    </w:p>
    <w:p w:rsidR="005D33C4" w:rsidRPr="00FA0633" w:rsidRDefault="005D33C4" w:rsidP="005D33C4">
      <w:pPr>
        <w:pStyle w:val="BodyText"/>
        <w:numPr>
          <w:ilvl w:val="0"/>
          <w:numId w:val="1"/>
        </w:numPr>
        <w:tabs>
          <w:tab w:val="clear" w:pos="720"/>
          <w:tab w:val="num" w:pos="426"/>
        </w:tabs>
        <w:spacing w:after="0"/>
        <w:ind w:left="426" w:hanging="426"/>
        <w:rPr>
          <w:rFonts w:ascii="Arial" w:hAnsi="Arial" w:cs="Arial"/>
          <w:sz w:val="22"/>
          <w:szCs w:val="22"/>
        </w:rPr>
      </w:pPr>
      <w:r w:rsidRPr="00FA0633">
        <w:rPr>
          <w:rFonts w:ascii="Arial" w:hAnsi="Arial" w:cs="Arial"/>
          <w:sz w:val="22"/>
          <w:szCs w:val="22"/>
        </w:rPr>
        <w:t>The number of working days until the next available time to start radiation treatment has improved during the September quarter 2009.  Three of the four facilities which provide this service are now reporting an average delay to access treatment to be within the maximum acceptable waiting time, for both categories 2 and 3.</w:t>
      </w:r>
    </w:p>
    <w:p w:rsidR="005D33C4" w:rsidRPr="00FA0633" w:rsidRDefault="005D33C4" w:rsidP="005D33C4">
      <w:pPr>
        <w:numPr>
          <w:ilvl w:val="0"/>
          <w:numId w:val="1"/>
        </w:numPr>
        <w:tabs>
          <w:tab w:val="clear" w:pos="720"/>
          <w:tab w:val="num" w:pos="360"/>
        </w:tabs>
        <w:spacing w:before="240"/>
        <w:ind w:left="360"/>
        <w:rPr>
          <w:rFonts w:ascii="Arial" w:hAnsi="Arial" w:cs="Arial"/>
          <w:bCs/>
          <w:spacing w:val="-3"/>
          <w:sz w:val="22"/>
          <w:szCs w:val="22"/>
        </w:rPr>
      </w:pPr>
      <w:r w:rsidRPr="00FA0633">
        <w:rPr>
          <w:rFonts w:ascii="Arial" w:hAnsi="Arial" w:cs="Arial"/>
          <w:sz w:val="22"/>
          <w:szCs w:val="22"/>
          <w:u w:val="single"/>
        </w:rPr>
        <w:t>Cabinet endorsed</w:t>
      </w:r>
      <w:r w:rsidRPr="00FA0633">
        <w:rPr>
          <w:rFonts w:ascii="Arial" w:hAnsi="Arial" w:cs="Arial"/>
          <w:sz w:val="22"/>
          <w:szCs w:val="22"/>
        </w:rPr>
        <w:t xml:space="preserve"> the release of the Quarterly Public Hospitals Performance Report – September Quarter 2009.</w:t>
      </w:r>
    </w:p>
    <w:p w:rsidR="005D33C4" w:rsidRPr="00FA0633" w:rsidRDefault="005D33C4" w:rsidP="00D84E42">
      <w:pPr>
        <w:spacing w:before="120"/>
        <w:rPr>
          <w:rFonts w:ascii="Arial" w:hAnsi="Arial" w:cs="Arial"/>
          <w:sz w:val="22"/>
          <w:szCs w:val="22"/>
        </w:rPr>
      </w:pPr>
    </w:p>
    <w:p w:rsidR="005D33C4" w:rsidRPr="00FA0633" w:rsidRDefault="005D33C4" w:rsidP="005D33C4">
      <w:pPr>
        <w:keepNext/>
        <w:numPr>
          <w:ilvl w:val="0"/>
          <w:numId w:val="1"/>
        </w:numPr>
        <w:tabs>
          <w:tab w:val="clear" w:pos="720"/>
          <w:tab w:val="num" w:pos="360"/>
        </w:tabs>
        <w:ind w:left="357" w:hanging="357"/>
        <w:rPr>
          <w:rFonts w:ascii="Arial" w:hAnsi="Arial" w:cs="Arial"/>
          <w:sz w:val="22"/>
          <w:szCs w:val="22"/>
        </w:rPr>
      </w:pPr>
      <w:r w:rsidRPr="00FA0633">
        <w:rPr>
          <w:rFonts w:ascii="Arial" w:hAnsi="Arial" w:cs="Arial"/>
          <w:i/>
          <w:sz w:val="22"/>
          <w:szCs w:val="22"/>
          <w:u w:val="single"/>
        </w:rPr>
        <w:t>Attachments</w:t>
      </w:r>
    </w:p>
    <w:p w:rsidR="007B071F" w:rsidRPr="00F65E63" w:rsidRDefault="00D27FAD" w:rsidP="00AB1099">
      <w:pPr>
        <w:numPr>
          <w:ilvl w:val="0"/>
          <w:numId w:val="4"/>
        </w:numPr>
        <w:spacing w:before="120"/>
        <w:ind w:left="714" w:hanging="357"/>
      </w:pPr>
      <w:hyperlink r:id="rId7" w:history="1">
        <w:r w:rsidR="005D33C4" w:rsidRPr="00D84E42">
          <w:rPr>
            <w:rStyle w:val="Hyperlink"/>
            <w:rFonts w:ascii="Arial" w:hAnsi="Arial" w:cs="Arial"/>
            <w:sz w:val="22"/>
            <w:szCs w:val="22"/>
          </w:rPr>
          <w:t>Quarterly Public Hospitals Performance Report – September Quarter 2009</w:t>
        </w:r>
      </w:hyperlink>
    </w:p>
    <w:sectPr w:rsidR="007B071F" w:rsidRPr="00F65E63" w:rsidSect="00AB1099">
      <w:headerReference w:type="default" r:id="rId8"/>
      <w:pgSz w:w="11906" w:h="16838" w:code="9"/>
      <w:pgMar w:top="1985" w:right="1418" w:bottom="993" w:left="1418" w:header="851"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90D" w:rsidRDefault="002C290D" w:rsidP="00DB21DB">
      <w:r>
        <w:separator/>
      </w:r>
    </w:p>
  </w:endnote>
  <w:endnote w:type="continuationSeparator" w:id="0">
    <w:p w:rsidR="002C290D" w:rsidRDefault="002C290D" w:rsidP="00DB2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90D" w:rsidRDefault="002C290D" w:rsidP="00DB21DB">
      <w:r>
        <w:separator/>
      </w:r>
    </w:p>
  </w:footnote>
  <w:footnote w:type="continuationSeparator" w:id="0">
    <w:p w:rsidR="002C290D" w:rsidRDefault="002C290D" w:rsidP="00DB2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1DB" w:rsidRPr="000400F9" w:rsidRDefault="009C588B" w:rsidP="00DB21DB">
    <w:pPr>
      <w:pStyle w:val="Header"/>
      <w:ind w:firstLine="2880"/>
      <w:rPr>
        <w:rFonts w:ascii="Arial" w:hAnsi="Arial" w:cs="Arial"/>
        <w:b/>
        <w:sz w:val="22"/>
        <w:szCs w:val="22"/>
        <w:u w:val="single"/>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DB21DB" w:rsidRPr="000400F9">
      <w:rPr>
        <w:rFonts w:ascii="Arial" w:hAnsi="Arial" w:cs="Arial"/>
        <w:b/>
        <w:sz w:val="22"/>
        <w:szCs w:val="22"/>
        <w:u w:val="single"/>
      </w:rPr>
      <w:t xml:space="preserve">Cabinet – </w:t>
    </w:r>
    <w:r w:rsidR="007E02AF">
      <w:rPr>
        <w:rFonts w:ascii="Arial" w:hAnsi="Arial" w:cs="Arial"/>
        <w:b/>
        <w:sz w:val="22"/>
        <w:szCs w:val="22"/>
        <w:u w:val="single"/>
      </w:rPr>
      <w:t xml:space="preserve">November </w:t>
    </w:r>
    <w:r w:rsidR="00DB21DB">
      <w:rPr>
        <w:rFonts w:ascii="Arial" w:hAnsi="Arial" w:cs="Arial"/>
        <w:b/>
        <w:sz w:val="22"/>
        <w:szCs w:val="22"/>
        <w:u w:val="single"/>
      </w:rPr>
      <w:t>2009</w:t>
    </w:r>
  </w:p>
  <w:p w:rsidR="00DB21DB" w:rsidRDefault="00DB21DB" w:rsidP="00DB21DB">
    <w:pPr>
      <w:pStyle w:val="Header"/>
      <w:tabs>
        <w:tab w:val="clear" w:pos="4153"/>
        <w:tab w:val="clear" w:pos="8306"/>
      </w:tabs>
      <w:rPr>
        <w:szCs w:val="24"/>
      </w:rPr>
    </w:pPr>
  </w:p>
  <w:p w:rsidR="00DB21DB" w:rsidRPr="008C56A2" w:rsidRDefault="00DB21DB" w:rsidP="00DB21DB">
    <w:pPr>
      <w:pStyle w:val="Header"/>
      <w:tabs>
        <w:tab w:val="clear" w:pos="4153"/>
        <w:tab w:val="clear" w:pos="8306"/>
      </w:tabs>
      <w:rPr>
        <w:rFonts w:ascii="Arial" w:hAnsi="Arial" w:cs="Arial"/>
        <w:b/>
        <w:sz w:val="22"/>
        <w:szCs w:val="22"/>
        <w:u w:val="single"/>
      </w:rPr>
    </w:pPr>
    <w:r w:rsidRPr="008C56A2">
      <w:rPr>
        <w:rFonts w:ascii="Arial" w:hAnsi="Arial" w:cs="Arial"/>
        <w:b/>
        <w:sz w:val="22"/>
        <w:szCs w:val="22"/>
        <w:u w:val="single"/>
      </w:rPr>
      <w:t>Quarterly Public Hospitals Performance Report - September Quarter 2009</w:t>
    </w:r>
  </w:p>
  <w:p w:rsidR="00DB21DB" w:rsidRDefault="00DB21DB" w:rsidP="00DB21DB">
    <w:pPr>
      <w:pStyle w:val="Header"/>
      <w:spacing w:before="120"/>
      <w:rPr>
        <w:rFonts w:ascii="Arial" w:hAnsi="Arial" w:cs="Arial"/>
        <w:b/>
        <w:sz w:val="22"/>
        <w:szCs w:val="22"/>
        <w:u w:val="single"/>
      </w:rPr>
    </w:pPr>
    <w:r>
      <w:rPr>
        <w:rFonts w:ascii="Arial" w:hAnsi="Arial" w:cs="Arial"/>
        <w:b/>
        <w:sz w:val="22"/>
        <w:szCs w:val="22"/>
        <w:u w:val="single"/>
      </w:rPr>
      <w:t>Deputy Premier and Minister for Health</w:t>
    </w:r>
  </w:p>
  <w:p w:rsidR="00DB21DB" w:rsidRPr="00F10DF9" w:rsidRDefault="00DB21DB" w:rsidP="00DB21DB">
    <w:pPr>
      <w:pStyle w:val="Header"/>
      <w:pBdr>
        <w:bottom w:val="single" w:sz="8" w:space="1" w:color="auto"/>
      </w:pBdr>
      <w:spacing w:line="180" w:lineRule="exact"/>
      <w:rPr>
        <w:rFonts w:ascii="Arial" w:hAnsi="Arial" w:cs="Arial"/>
        <w:sz w:val="22"/>
        <w:szCs w:val="22"/>
      </w:rPr>
    </w:pPr>
  </w:p>
  <w:p w:rsidR="00DB21DB" w:rsidRDefault="00DB21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C31EBD"/>
    <w:multiLevelType w:val="multilevel"/>
    <w:tmpl w:val="4E102A80"/>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2D810F8"/>
    <w:multiLevelType w:val="hybridMultilevel"/>
    <w:tmpl w:val="5B0899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F176F87"/>
    <w:multiLevelType w:val="hybridMultilevel"/>
    <w:tmpl w:val="CB0E4B3A"/>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7FC6272D"/>
    <w:multiLevelType w:val="hybridMultilevel"/>
    <w:tmpl w:val="4E102A80"/>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A82"/>
    <w:rsid w:val="00007D9F"/>
    <w:rsid w:val="00042F2B"/>
    <w:rsid w:val="00113571"/>
    <w:rsid w:val="002C290D"/>
    <w:rsid w:val="00316FD5"/>
    <w:rsid w:val="00473B70"/>
    <w:rsid w:val="0049276C"/>
    <w:rsid w:val="00530362"/>
    <w:rsid w:val="005331EB"/>
    <w:rsid w:val="005459DE"/>
    <w:rsid w:val="005D33C4"/>
    <w:rsid w:val="007A5956"/>
    <w:rsid w:val="007B071F"/>
    <w:rsid w:val="007E02AF"/>
    <w:rsid w:val="00867A82"/>
    <w:rsid w:val="008C56A2"/>
    <w:rsid w:val="009B37E3"/>
    <w:rsid w:val="009C588B"/>
    <w:rsid w:val="00AB1099"/>
    <w:rsid w:val="00B23147"/>
    <w:rsid w:val="00B42F50"/>
    <w:rsid w:val="00B63C9B"/>
    <w:rsid w:val="00BD030D"/>
    <w:rsid w:val="00C40228"/>
    <w:rsid w:val="00CA582F"/>
    <w:rsid w:val="00D27FAD"/>
    <w:rsid w:val="00D84E42"/>
    <w:rsid w:val="00DB21DB"/>
    <w:rsid w:val="00DD6ABD"/>
    <w:rsid w:val="00E27350"/>
    <w:rsid w:val="00EA70CA"/>
    <w:rsid w:val="00F018C6"/>
    <w:rsid w:val="00F65E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638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3C4"/>
    <w:pPr>
      <w:jc w:val="both"/>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D33C4"/>
    <w:pPr>
      <w:spacing w:after="240"/>
    </w:pPr>
  </w:style>
  <w:style w:type="paragraph" w:customStyle="1" w:styleId="CharChar1CharCharCharCharCharChar">
    <w:name w:val="Char Char1 Char Char Char Char Char Char"/>
    <w:basedOn w:val="Normal"/>
    <w:rsid w:val="005D33C4"/>
    <w:pPr>
      <w:jc w:val="left"/>
    </w:pPr>
    <w:rPr>
      <w:rFonts w:ascii="Arial" w:hAnsi="Arial" w:cs="Arial"/>
      <w:sz w:val="22"/>
      <w:szCs w:val="22"/>
      <w:lang w:eastAsia="en-US"/>
    </w:rPr>
  </w:style>
  <w:style w:type="paragraph" w:styleId="BalloonText">
    <w:name w:val="Balloon Text"/>
    <w:basedOn w:val="Normal"/>
    <w:semiHidden/>
    <w:rsid w:val="005D33C4"/>
    <w:rPr>
      <w:rFonts w:ascii="Tahoma" w:hAnsi="Tahoma" w:cs="Tahoma"/>
      <w:sz w:val="16"/>
      <w:szCs w:val="16"/>
    </w:rPr>
  </w:style>
  <w:style w:type="paragraph" w:styleId="Header">
    <w:name w:val="header"/>
    <w:basedOn w:val="Normal"/>
    <w:rsid w:val="005D33C4"/>
    <w:pPr>
      <w:tabs>
        <w:tab w:val="center" w:pos="4153"/>
        <w:tab w:val="right" w:pos="8306"/>
      </w:tabs>
    </w:pPr>
  </w:style>
  <w:style w:type="paragraph" w:styleId="Footer">
    <w:name w:val="footer"/>
    <w:basedOn w:val="Normal"/>
    <w:link w:val="FooterChar"/>
    <w:uiPriority w:val="99"/>
    <w:semiHidden/>
    <w:unhideWhenUsed/>
    <w:rsid w:val="00DB21DB"/>
    <w:pPr>
      <w:tabs>
        <w:tab w:val="center" w:pos="4513"/>
        <w:tab w:val="right" w:pos="9026"/>
      </w:tabs>
    </w:pPr>
  </w:style>
  <w:style w:type="character" w:customStyle="1" w:styleId="FooterChar">
    <w:name w:val="Footer Char"/>
    <w:basedOn w:val="DefaultParagraphFont"/>
    <w:link w:val="Footer"/>
    <w:uiPriority w:val="99"/>
    <w:semiHidden/>
    <w:rsid w:val="00DB21DB"/>
    <w:rPr>
      <w:sz w:val="24"/>
    </w:rPr>
  </w:style>
  <w:style w:type="character" w:styleId="Hyperlink">
    <w:name w:val="Hyperlink"/>
    <w:basedOn w:val="DefaultParagraphFont"/>
    <w:uiPriority w:val="99"/>
    <w:unhideWhenUsed/>
    <w:rsid w:val="00D84E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ttachments/9074%20-%20QHQPHPR%20September%20Quarter%202009.FIN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2138</Characters>
  <Application>Microsoft Office Word</Application>
  <DocSecurity>0</DocSecurity>
  <Lines>47</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2525</CharactersWithSpaces>
  <SharedDoc>false</SharedDoc>
  <HyperlinkBase>https://www.cabinet.qld.gov.au/documents/2009/Nov/Qtrly Public Hospital Report - Sept 09/</HyperlinkBase>
  <HLinks>
    <vt:vector size="6" baseType="variant">
      <vt:variant>
        <vt:i4>8257574</vt:i4>
      </vt:variant>
      <vt:variant>
        <vt:i4>0</vt:i4>
      </vt:variant>
      <vt:variant>
        <vt:i4>0</vt:i4>
      </vt:variant>
      <vt:variant>
        <vt:i4>5</vt:i4>
      </vt:variant>
      <vt:variant>
        <vt:lpwstr>Attachments/9074 - QHQPHPR September Quarter 2009.FINAL.pdf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2010-10-22T04:53:00Z</cp:lastPrinted>
  <dcterms:created xsi:type="dcterms:W3CDTF">2017-10-24T22:02:00Z</dcterms:created>
  <dcterms:modified xsi:type="dcterms:W3CDTF">2018-03-06T00:58:00Z</dcterms:modified>
  <cp:category>Health,Hospitals</cp:category>
</cp:coreProperties>
</file>